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B0B98" w14:textId="5DC74C3C" w:rsidR="0087712A" w:rsidRPr="0087712A" w:rsidRDefault="006C5910" w:rsidP="006C5910">
      <w:pPr>
        <w:pStyle w:val="Style17"/>
        <w:spacing w:before="240" w:line="1" w:lineRule="atLeast"/>
        <w:rPr>
          <w:rFonts w:ascii="Myriad Pro-Bold" w:hAnsi="Myriad Pro-Bold" w:cs="Myriad Pro-Bold"/>
          <w:sz w:val="28"/>
          <w:szCs w:val="28"/>
        </w:rPr>
      </w:pPr>
      <w:r>
        <w:rPr>
          <w:rFonts w:ascii="Myriad Pro-Semibold" w:hAnsi="Myriad Pro-Semibold" w:cs="Myriad Pro-Semibold"/>
          <w:b/>
          <w:bCs/>
          <w:color w:val="003869"/>
          <w:sz w:val="28"/>
          <w:szCs w:val="28"/>
        </w:rPr>
        <w:t>Eine gelungene Übergabe</w:t>
      </w:r>
      <w:r w:rsidR="0087712A" w:rsidRPr="0087712A">
        <w:rPr>
          <w:rFonts w:ascii="Myriad Pro-Semibold" w:hAnsi="Myriad Pro-Semibold" w:cs="Myriad Pro-Semibold"/>
          <w:b/>
          <w:bCs/>
          <w:color w:val="003869"/>
          <w:sz w:val="28"/>
          <w:szCs w:val="28"/>
        </w:rPr>
        <w:t xml:space="preserve"> </w:t>
      </w:r>
    </w:p>
    <w:p w14:paraId="171C382D" w14:textId="377912FC" w:rsidR="0087712A" w:rsidRDefault="0087712A" w:rsidP="00430EE3">
      <w:pPr>
        <w:pStyle w:val="berschrift3"/>
        <w:spacing w:line="1" w:lineRule="atLeast"/>
        <w:rPr>
          <w:rFonts w:ascii="Myriad Pro-Semibold" w:hAnsi="Myriad Pro-Semibold" w:cs="Myriad Pro-Semibold"/>
          <w:b/>
          <w:bCs/>
          <w:color w:val="003869"/>
          <w:sz w:val="36"/>
          <w:szCs w:val="36"/>
        </w:rPr>
      </w:pPr>
    </w:p>
    <w:tbl>
      <w:tblPr>
        <w:tblW w:w="135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439"/>
        <w:gridCol w:w="761"/>
        <w:gridCol w:w="1680"/>
        <w:gridCol w:w="1680"/>
        <w:gridCol w:w="1680"/>
        <w:gridCol w:w="2279"/>
      </w:tblGrid>
      <w:tr w:rsidR="006C5910" w14:paraId="313565DD" w14:textId="77777777" w:rsidTr="000B26FB">
        <w:tblPrEx>
          <w:tblCellMar>
            <w:top w:w="0" w:type="dxa"/>
            <w:right w:w="0" w:type="dxa"/>
          </w:tblCellMar>
        </w:tblPrEx>
        <w:trPr>
          <w:cantSplit/>
        </w:trPr>
        <w:tc>
          <w:tcPr>
            <w:tcW w:w="5439" w:type="dxa"/>
          </w:tcPr>
          <w:p w14:paraId="72644FA6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Notwendige Unterlagen zur Steuerung und Dok</w:t>
            </w: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u</w:t>
            </w: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 xml:space="preserve">mentation </w:t>
            </w:r>
          </w:p>
        </w:tc>
        <w:tc>
          <w:tcPr>
            <w:tcW w:w="761" w:type="dxa"/>
          </w:tcPr>
          <w:p w14:paraId="0D50802E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 xml:space="preserve">liegt vor </w:t>
            </w:r>
          </w:p>
        </w:tc>
        <w:tc>
          <w:tcPr>
            <w:tcW w:w="1680" w:type="dxa"/>
          </w:tcPr>
          <w:p w14:paraId="64521556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wird nachg</w:t>
            </w: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e</w:t>
            </w:r>
            <w:r w:rsidRPr="00940937"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 xml:space="preserve">liefert </w:t>
            </w:r>
          </w:p>
        </w:tc>
        <w:tc>
          <w:tcPr>
            <w:tcW w:w="1680" w:type="dxa"/>
          </w:tcPr>
          <w:p w14:paraId="3C098006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nicht vorha</w:t>
            </w:r>
            <w:r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n</w:t>
            </w:r>
            <w:r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den</w:t>
            </w:r>
          </w:p>
        </w:tc>
        <w:tc>
          <w:tcPr>
            <w:tcW w:w="1680" w:type="dxa"/>
          </w:tcPr>
          <w:p w14:paraId="538142B7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geprüft</w:t>
            </w:r>
          </w:p>
        </w:tc>
        <w:tc>
          <w:tcPr>
            <w:tcW w:w="2279" w:type="dxa"/>
          </w:tcPr>
          <w:p w14:paraId="20E94CD6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</w:pPr>
            <w:r>
              <w:rPr>
                <w:rFonts w:ascii="Myriad Pro-Bold" w:hAnsi="Myriad Pro-Bold" w:cs="Myriad Pro-Bold"/>
                <w:b/>
                <w:bCs/>
                <w:color w:val="003869"/>
                <w:sz w:val="22"/>
                <w:szCs w:val="22"/>
              </w:rPr>
              <w:t>Anmerkungen</w:t>
            </w:r>
          </w:p>
        </w:tc>
      </w:tr>
      <w:tr w:rsidR="006C5910" w14:paraId="1E1D504F" w14:textId="77777777" w:rsidTr="000B26FB">
        <w:tblPrEx>
          <w:tblCellMar>
            <w:top w:w="0" w:type="dxa"/>
            <w:right w:w="0" w:type="dxa"/>
          </w:tblCellMar>
        </w:tblPrEx>
        <w:trPr>
          <w:cantSplit/>
        </w:trPr>
        <w:tc>
          <w:tcPr>
            <w:tcW w:w="5439" w:type="dxa"/>
          </w:tcPr>
          <w:p w14:paraId="6891AAFF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Jahresabschlussbericht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aus dem Vorjahr </w:t>
            </w:r>
          </w:p>
        </w:tc>
        <w:tc>
          <w:tcPr>
            <w:tcW w:w="761" w:type="dxa"/>
          </w:tcPr>
          <w:p w14:paraId="3759DF11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DCF4E45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4FA5E4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4004A0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4A25904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41D27D7A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893"/>
        </w:trPr>
        <w:tc>
          <w:tcPr>
            <w:tcW w:w="5439" w:type="dxa"/>
          </w:tcPr>
          <w:p w14:paraId="659EAFF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 xml:space="preserve">Auswertungen des internen Berichtswesens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(Kostenstellenabrechnungen etc.) mit Überleitung zum  </w:t>
            </w:r>
            <w:proofErr w:type="spellStart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GuV­Ergebnis</w:t>
            </w:r>
            <w:proofErr w:type="spellEnd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für das Vorjahr </w:t>
            </w:r>
          </w:p>
        </w:tc>
        <w:tc>
          <w:tcPr>
            <w:tcW w:w="761" w:type="dxa"/>
          </w:tcPr>
          <w:p w14:paraId="13D1FC6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9CC316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98F917C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3CD18E5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E40AA4F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5DDDD7DB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573"/>
        </w:trPr>
        <w:tc>
          <w:tcPr>
            <w:tcW w:w="5439" w:type="dxa"/>
          </w:tcPr>
          <w:p w14:paraId="43249700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Einmal- oder Sondereffekte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940937">
              <w:rPr>
                <w:sz w:val="22"/>
                <w:szCs w:val="22"/>
              </w:rPr>
              <w:br/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Übersicht für das vergangene Geschäftsjahr </w:t>
            </w:r>
          </w:p>
        </w:tc>
        <w:tc>
          <w:tcPr>
            <w:tcW w:w="761" w:type="dxa"/>
          </w:tcPr>
          <w:p w14:paraId="6DC1A121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384F6FC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A807B8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E0F365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8A49B11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757572FA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1012"/>
        </w:trPr>
        <w:tc>
          <w:tcPr>
            <w:tcW w:w="5439" w:type="dxa"/>
          </w:tcPr>
          <w:p w14:paraId="22AECFFE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Betriebswirtschaftliche Auswertungen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Kostenste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l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lenrechnungen, Planungen und </w:t>
            </w:r>
            <w:proofErr w:type="spellStart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Soll­Ist­Vergleiche</w:t>
            </w:r>
            <w:proofErr w:type="spellEnd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des laufenden Geschäftsjahres auf Monatsbasis. </w:t>
            </w:r>
          </w:p>
        </w:tc>
        <w:tc>
          <w:tcPr>
            <w:tcW w:w="761" w:type="dxa"/>
          </w:tcPr>
          <w:p w14:paraId="276DF82D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0D692F7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2D0E58D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303013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4551FD76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5D32BB42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779"/>
        </w:trPr>
        <w:tc>
          <w:tcPr>
            <w:tcW w:w="5439" w:type="dxa"/>
          </w:tcPr>
          <w:p w14:paraId="35C8DC3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Belegung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– monatliche Entwicklung des Vorjahrs sowie des laufenden Jahres (inkl. Angaben über A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n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zahl Bewohner*innen, Leistungstypen etc.) </w:t>
            </w:r>
          </w:p>
        </w:tc>
        <w:tc>
          <w:tcPr>
            <w:tcW w:w="761" w:type="dxa"/>
          </w:tcPr>
          <w:p w14:paraId="75B57D3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E910F7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E0AADC8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AB9A6EC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6F45A0B2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52837F72" w14:textId="77777777" w:rsidTr="000B26FB">
        <w:tblPrEx>
          <w:tblCellMar>
            <w:top w:w="0" w:type="dxa"/>
            <w:right w:w="0" w:type="dxa"/>
          </w:tblCellMar>
        </w:tblPrEx>
        <w:trPr>
          <w:cantSplit/>
        </w:trPr>
        <w:tc>
          <w:tcPr>
            <w:tcW w:w="5439" w:type="dxa"/>
          </w:tcPr>
          <w:p w14:paraId="7E46B0B5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 xml:space="preserve">Aktuelle Liquiditätsplanung </w:t>
            </w:r>
          </w:p>
        </w:tc>
        <w:tc>
          <w:tcPr>
            <w:tcW w:w="761" w:type="dxa"/>
          </w:tcPr>
          <w:p w14:paraId="78F618DF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4250C70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C5AEE0A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76AEF2A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C661013" w14:textId="77777777" w:rsidR="006C5910" w:rsidRPr="00940937" w:rsidRDefault="006C5910" w:rsidP="000B26FB">
            <w:pPr>
              <w:pStyle w:val="Style15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</w:tr>
      <w:tr w:rsidR="006C5910" w14:paraId="1A60D074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516"/>
        </w:trPr>
        <w:tc>
          <w:tcPr>
            <w:tcW w:w="5439" w:type="dxa"/>
          </w:tcPr>
          <w:p w14:paraId="19BD0A6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 xml:space="preserve">Vergütungsvereinbarungen   </w:t>
            </w:r>
            <w:r w:rsidRPr="00940937">
              <w:rPr>
                <w:b/>
                <w:bCs/>
                <w:sz w:val="22"/>
                <w:szCs w:val="22"/>
              </w:rPr>
              <w:br/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(Vorjahr sowie aktuelles Geschäftsjahr) </w:t>
            </w:r>
          </w:p>
        </w:tc>
        <w:tc>
          <w:tcPr>
            <w:tcW w:w="761" w:type="dxa"/>
          </w:tcPr>
          <w:p w14:paraId="044446DE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A5F706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A67799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EB0070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420A2601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42B48FAD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3289"/>
        </w:trPr>
        <w:tc>
          <w:tcPr>
            <w:tcW w:w="5439" w:type="dxa"/>
          </w:tcPr>
          <w:p w14:paraId="0F29AEB0" w14:textId="77777777" w:rsidR="006C5910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Aktuelle Personalaufstellung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mit folgenden Ang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a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ben: </w:t>
            </w:r>
          </w:p>
          <w:p w14:paraId="4D1F406C" w14:textId="77777777" w:rsidR="006C5910" w:rsidRDefault="006C5910" w:rsidP="000B26FB">
            <w:pPr>
              <w:pStyle w:val="Style16"/>
              <w:numPr>
                <w:ilvl w:val="0"/>
                <w:numId w:val="1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Nachname, Vorn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ame | Geburtsdatum | Au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s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bildung</w:t>
            </w:r>
          </w:p>
          <w:p w14:paraId="42F748B3" w14:textId="77777777" w:rsidR="006C5910" w:rsidRDefault="006C5910" w:rsidP="000B26FB">
            <w:pPr>
              <w:pStyle w:val="Style16"/>
              <w:numPr>
                <w:ilvl w:val="0"/>
                <w:numId w:val="1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Vertragsbeginn | Vertragsende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/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Befristungen</w:t>
            </w:r>
          </w:p>
          <w:p w14:paraId="23ACD039" w14:textId="77777777" w:rsidR="006C5910" w:rsidRDefault="006C5910" w:rsidP="000B26FB">
            <w:pPr>
              <w:pStyle w:val="Style16"/>
              <w:numPr>
                <w:ilvl w:val="0"/>
                <w:numId w:val="1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Ar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beitgeber Personalkosten brutto</w:t>
            </w:r>
          </w:p>
          <w:p w14:paraId="37BCE257" w14:textId="77777777" w:rsidR="006C5910" w:rsidRDefault="006C5910" w:rsidP="000B26FB">
            <w:pPr>
              <w:pStyle w:val="Style16"/>
              <w:numPr>
                <w:ilvl w:val="0"/>
                <w:numId w:val="1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Leistungsbereich/Sparte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| Tätigkeitsbe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zeic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h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nung</w:t>
            </w:r>
          </w:p>
          <w:p w14:paraId="6443EFF5" w14:textId="77777777" w:rsidR="006C5910" w:rsidRDefault="006C5910" w:rsidP="000B26FB">
            <w:pPr>
              <w:pStyle w:val="Style16"/>
              <w:numPr>
                <w:ilvl w:val="0"/>
                <w:numId w:val="1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Angaben zu Tarif und Zusatzversorgung (inkl. Angabe  zu bereits bekannten Veränderungen/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Erhöhungen) |  Angabe zur Al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tersvo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r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sorge</w:t>
            </w:r>
          </w:p>
          <w:p w14:paraId="1D59675E" w14:textId="77777777" w:rsidR="006C5910" w:rsidRPr="00940937" w:rsidRDefault="006C5910" w:rsidP="000B26FB">
            <w:pPr>
              <w:pStyle w:val="Style16"/>
              <w:numPr>
                <w:ilvl w:val="0"/>
                <w:numId w:val="1"/>
              </w:numPr>
              <w:ind w:left="279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Angaben zu Sonderkündigungsschutz  </w:t>
            </w:r>
            <w:bookmarkStart w:id="0" w:name="_GoBack"/>
            <w:bookmarkEnd w:id="0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(Mutte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r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schutz, Elternzeit etc.) </w:t>
            </w:r>
          </w:p>
        </w:tc>
        <w:tc>
          <w:tcPr>
            <w:tcW w:w="761" w:type="dxa"/>
          </w:tcPr>
          <w:p w14:paraId="09DF4111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4CFDA5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4F7A85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C024462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2E064C9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21BB2A78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516"/>
        </w:trPr>
        <w:tc>
          <w:tcPr>
            <w:tcW w:w="5439" w:type="dxa"/>
          </w:tcPr>
          <w:p w14:paraId="23F8A562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lastRenderedPageBreak/>
              <w:t>Personalrückstellungen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</w:t>
            </w:r>
            <w:r w:rsidRPr="00940937">
              <w:rPr>
                <w:sz w:val="22"/>
                <w:szCs w:val="22"/>
              </w:rPr>
              <w:br/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Übersicht zum 31. Dezember (Bilanzstichtag) </w:t>
            </w:r>
          </w:p>
        </w:tc>
        <w:tc>
          <w:tcPr>
            <w:tcW w:w="761" w:type="dxa"/>
          </w:tcPr>
          <w:p w14:paraId="14ED69A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2FB2FB0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9617517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AD5BA77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45F292C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0E59873E" w14:textId="77777777" w:rsidTr="000B26FB">
        <w:tblPrEx>
          <w:tblCellMar>
            <w:top w:w="0" w:type="dxa"/>
            <w:right w:w="0" w:type="dxa"/>
          </w:tblCellMar>
        </w:tblPrEx>
        <w:trPr>
          <w:cantSplit/>
        </w:trPr>
        <w:tc>
          <w:tcPr>
            <w:tcW w:w="5439" w:type="dxa"/>
          </w:tcPr>
          <w:p w14:paraId="2458FAE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 xml:space="preserve">Krankheitsstatistik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(Vorjahr sowie aktuelles G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schäftsjahr) </w:t>
            </w:r>
          </w:p>
        </w:tc>
        <w:tc>
          <w:tcPr>
            <w:tcW w:w="761" w:type="dxa"/>
          </w:tcPr>
          <w:p w14:paraId="049DA046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E1A4DAF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2230B8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57D91B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4D4C976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1053D43E" w14:textId="77777777" w:rsidTr="000B26FB">
        <w:tblPrEx>
          <w:tblCellMar>
            <w:top w:w="0" w:type="dxa"/>
            <w:right w:w="0" w:type="dxa"/>
          </w:tblCellMar>
        </w:tblPrEx>
        <w:trPr>
          <w:cantSplit/>
        </w:trPr>
        <w:tc>
          <w:tcPr>
            <w:tcW w:w="5439" w:type="dxa"/>
          </w:tcPr>
          <w:p w14:paraId="1BA5FED0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 xml:space="preserve">Überstundenstatistik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(Vorjahr sowie aktuelles G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schäftsjahr) </w:t>
            </w:r>
          </w:p>
        </w:tc>
        <w:tc>
          <w:tcPr>
            <w:tcW w:w="761" w:type="dxa"/>
          </w:tcPr>
          <w:p w14:paraId="4A2D284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16E5CBE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41E8CD06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B0E3D84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C5ABEB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34CE6C87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1518"/>
        </w:trPr>
        <w:tc>
          <w:tcPr>
            <w:tcW w:w="5439" w:type="dxa"/>
          </w:tcPr>
          <w:p w14:paraId="7B020CDC" w14:textId="77777777" w:rsidR="006C5910" w:rsidRDefault="006C5910" w:rsidP="000B26FB">
            <w:pPr>
              <w:pStyle w:val="Style16"/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Wesentliche Verträ</w:t>
            </w:r>
            <w:r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ge | Vereinbarungen</w:t>
            </w:r>
          </w:p>
          <w:p w14:paraId="18B458EC" w14:textId="77777777" w:rsidR="006C5910" w:rsidRDefault="006C5910" w:rsidP="000B26FB">
            <w:pPr>
              <w:pStyle w:val="Style16"/>
              <w:numPr>
                <w:ilvl w:val="0"/>
                <w:numId w:val="2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B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triebsvereinbarungen | Darlehensverträge</w:t>
            </w:r>
          </w:p>
          <w:p w14:paraId="59C41918" w14:textId="77777777" w:rsidR="006C5910" w:rsidRDefault="006C5910" w:rsidP="000B26FB">
            <w:pPr>
              <w:pStyle w:val="Style16"/>
              <w:numPr>
                <w:ilvl w:val="0"/>
                <w:numId w:val="2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proofErr w:type="spellStart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Miet</w:t>
            </w:r>
            <w:proofErr w:type="spellEnd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­, Pacht­ und Leasingverträge | </w:t>
            </w:r>
          </w:p>
          <w:p w14:paraId="530392DF" w14:textId="77777777" w:rsidR="006C5910" w:rsidRDefault="006C5910" w:rsidP="000B26FB">
            <w:pPr>
              <w:pStyle w:val="Style16"/>
              <w:numPr>
                <w:ilvl w:val="0"/>
                <w:numId w:val="2"/>
              </w:numPr>
              <w:spacing w:after="80"/>
              <w:ind w:left="278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proofErr w:type="spellStart"/>
            <w:r>
              <w:rPr>
                <w:rFonts w:ascii="Myriad Pro-Regular" w:hAnsi="Myriad Pro-Regular" w:cs="Myriad Pro-Regular"/>
                <w:sz w:val="22"/>
                <w:szCs w:val="22"/>
              </w:rPr>
              <w:t>L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iefer­</w:t>
            </w:r>
            <w:proofErr w:type="spellEnd"/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und Bezugsverträge </w:t>
            </w:r>
          </w:p>
          <w:p w14:paraId="4B265718" w14:textId="77777777" w:rsidR="006C5910" w:rsidRPr="00940937" w:rsidRDefault="006C5910" w:rsidP="000B26FB">
            <w:pPr>
              <w:pStyle w:val="Style16"/>
              <w:numPr>
                <w:ilvl w:val="0"/>
                <w:numId w:val="2"/>
              </w:numPr>
              <w:ind w:left="279" w:hanging="284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Dienstleistungsverträge | Kooperationsve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r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träge etc.</w:t>
            </w:r>
          </w:p>
        </w:tc>
        <w:tc>
          <w:tcPr>
            <w:tcW w:w="761" w:type="dxa"/>
          </w:tcPr>
          <w:p w14:paraId="18E804A5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806E80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BFF8C2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5B0EF4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FD7CC8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5E4E741A" w14:textId="77777777" w:rsidTr="000B26FB">
        <w:tblPrEx>
          <w:tblCellMar>
            <w:top w:w="0" w:type="dxa"/>
            <w:right w:w="0" w:type="dxa"/>
          </w:tblCellMar>
        </w:tblPrEx>
        <w:trPr>
          <w:cantSplit/>
        </w:trPr>
        <w:tc>
          <w:tcPr>
            <w:tcW w:w="5439" w:type="dxa"/>
          </w:tcPr>
          <w:p w14:paraId="6E2638D4" w14:textId="77777777" w:rsidR="006C5910" w:rsidRPr="00940937" w:rsidRDefault="006C5910" w:rsidP="000B26FB">
            <w:pPr>
              <w:pStyle w:val="Style19"/>
              <w:rPr>
                <w:rFonts w:ascii="Myriad Pro-Bold" w:hAnsi="Myriad Pro-Bold" w:cs="Myriad Pro-Bold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 xml:space="preserve">Satzung Verein | Gesellschaftsvertrag </w:t>
            </w:r>
          </w:p>
        </w:tc>
        <w:tc>
          <w:tcPr>
            <w:tcW w:w="761" w:type="dxa"/>
          </w:tcPr>
          <w:p w14:paraId="4B5F0949" w14:textId="77777777" w:rsidR="006C5910" w:rsidRPr="00940937" w:rsidRDefault="006C5910" w:rsidP="000B26FB">
            <w:pPr>
              <w:pStyle w:val="Style19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7F4217E" w14:textId="77777777" w:rsidR="006C5910" w:rsidRPr="00940937" w:rsidRDefault="006C5910" w:rsidP="000B26FB">
            <w:pPr>
              <w:pStyle w:val="Style19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BB5AECD" w14:textId="77777777" w:rsidR="006C5910" w:rsidRPr="00940937" w:rsidRDefault="006C5910" w:rsidP="000B26FB">
            <w:pPr>
              <w:pStyle w:val="Style19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3FFA1A6" w14:textId="77777777" w:rsidR="006C5910" w:rsidRPr="00940937" w:rsidRDefault="006C5910" w:rsidP="000B26FB">
            <w:pPr>
              <w:pStyle w:val="Style19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  <w:tc>
          <w:tcPr>
            <w:tcW w:w="2279" w:type="dxa"/>
          </w:tcPr>
          <w:p w14:paraId="10E93978" w14:textId="77777777" w:rsidR="006C5910" w:rsidRPr="00940937" w:rsidRDefault="006C5910" w:rsidP="000B26FB">
            <w:pPr>
              <w:pStyle w:val="Style19"/>
              <w:rPr>
                <w:rFonts w:ascii="Myriad Pro-Bold" w:hAnsi="Myriad Pro-Bold" w:cs="Myriad Pro-Bold"/>
                <w:sz w:val="22"/>
                <w:szCs w:val="22"/>
              </w:rPr>
            </w:pPr>
          </w:p>
        </w:tc>
      </w:tr>
      <w:tr w:rsidR="006C5910" w14:paraId="6AE5A8F6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779"/>
        </w:trPr>
        <w:tc>
          <w:tcPr>
            <w:tcW w:w="5439" w:type="dxa"/>
          </w:tcPr>
          <w:p w14:paraId="02C8FC8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Protokolle | Beschlüsse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(der letzten drei Jahre) </w:t>
            </w:r>
            <w:r w:rsidRPr="00940937">
              <w:rPr>
                <w:sz w:val="22"/>
                <w:szCs w:val="22"/>
              </w:rPr>
              <w:br/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der jeweiligen Mitglied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erversammlung, der Beirats­ und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der Au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f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sichtsratssitzungen </w:t>
            </w:r>
          </w:p>
        </w:tc>
        <w:tc>
          <w:tcPr>
            <w:tcW w:w="761" w:type="dxa"/>
          </w:tcPr>
          <w:p w14:paraId="738CED9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0844B5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6E4B5F6F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5C9917D0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783380E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72642470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516"/>
        </w:trPr>
        <w:tc>
          <w:tcPr>
            <w:tcW w:w="5439" w:type="dxa"/>
          </w:tcPr>
          <w:p w14:paraId="078FCD4C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Grundstücke, Gebäude, Mieträume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 </w:t>
            </w:r>
            <w:r w:rsidRPr="00940937">
              <w:rPr>
                <w:sz w:val="22"/>
                <w:szCs w:val="22"/>
              </w:rPr>
              <w:br/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(Liste zur Finanzierung/Belastung) </w:t>
            </w:r>
          </w:p>
        </w:tc>
        <w:tc>
          <w:tcPr>
            <w:tcW w:w="761" w:type="dxa"/>
          </w:tcPr>
          <w:p w14:paraId="32C38DB0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31F71CE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385DAFA6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7D28358A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0A9ADEDB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  <w:tr w:rsidR="006C5910" w14:paraId="64F13121" w14:textId="77777777" w:rsidTr="000B26FB">
        <w:tblPrEx>
          <w:tblCellMar>
            <w:top w:w="0" w:type="dxa"/>
            <w:right w:w="0" w:type="dxa"/>
          </w:tblCellMar>
        </w:tblPrEx>
        <w:trPr>
          <w:cantSplit/>
          <w:trHeight w:val="759"/>
        </w:trPr>
        <w:tc>
          <w:tcPr>
            <w:tcW w:w="5439" w:type="dxa"/>
          </w:tcPr>
          <w:p w14:paraId="06D6D553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  <w:r w:rsidRPr="00940937">
              <w:rPr>
                <w:rFonts w:ascii="Myriad Pro-Bold" w:hAnsi="Myriad Pro-Bold" w:cs="Myriad Pro-Bold"/>
                <w:b/>
                <w:bCs/>
                <w:sz w:val="22"/>
                <w:szCs w:val="22"/>
              </w:rPr>
              <w:t>Neubau/Sanierung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 – geplante, beschlossene und angefangene Investitionen auflisten. Plä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ne, Kalkulat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>i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onen,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>Verträ</w:t>
            </w:r>
            <w:r>
              <w:rPr>
                <w:rFonts w:ascii="Myriad Pro-Regular" w:hAnsi="Myriad Pro-Regular" w:cs="Myriad Pro-Regular"/>
                <w:sz w:val="22"/>
                <w:szCs w:val="22"/>
              </w:rPr>
              <w:t xml:space="preserve">ge, </w:t>
            </w:r>
            <w:r w:rsidRPr="00940937">
              <w:rPr>
                <w:rFonts w:ascii="Myriad Pro-Regular" w:hAnsi="Myriad Pro-Regular" w:cs="Myriad Pro-Regular"/>
                <w:sz w:val="22"/>
                <w:szCs w:val="22"/>
              </w:rPr>
              <w:t xml:space="preserve">Genehmigungen beifügen. </w:t>
            </w:r>
          </w:p>
        </w:tc>
        <w:tc>
          <w:tcPr>
            <w:tcW w:w="761" w:type="dxa"/>
          </w:tcPr>
          <w:p w14:paraId="7AC295B5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15F648AD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244EDB82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1680" w:type="dxa"/>
          </w:tcPr>
          <w:p w14:paraId="0047C8B9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  <w:tc>
          <w:tcPr>
            <w:tcW w:w="2279" w:type="dxa"/>
          </w:tcPr>
          <w:p w14:paraId="5CEC010D" w14:textId="77777777" w:rsidR="006C5910" w:rsidRPr="00940937" w:rsidRDefault="006C5910" w:rsidP="000B26FB">
            <w:pPr>
              <w:pStyle w:val="Style16"/>
              <w:rPr>
                <w:rFonts w:ascii="Myriad Pro-Regular" w:hAnsi="Myriad Pro-Regular" w:cs="Myriad Pro-Regular"/>
                <w:sz w:val="22"/>
                <w:szCs w:val="22"/>
              </w:rPr>
            </w:pPr>
          </w:p>
        </w:tc>
      </w:tr>
    </w:tbl>
    <w:p w14:paraId="41C4888B" w14:textId="77777777" w:rsidR="006C5910" w:rsidRDefault="006C5910" w:rsidP="0097176C">
      <w:pPr>
        <w:spacing w:after="120"/>
      </w:pPr>
    </w:p>
    <w:p w14:paraId="4630092F" w14:textId="0D9BCF3A" w:rsidR="008004CE" w:rsidRPr="0087712A" w:rsidRDefault="008004CE" w:rsidP="0097176C">
      <w:pPr>
        <w:spacing w:after="120"/>
      </w:pPr>
      <w:r>
        <w:t>Aus: Der PARITÄTISCHE BW: Übergabe – Wie der Vorstandswechsel im Verein gelingt – eine Arbeitshilfe. Stuttgart 2020</w:t>
      </w:r>
      <w:r w:rsidR="005C4207">
        <w:t xml:space="preserve">, S. </w:t>
      </w:r>
      <w:r w:rsidR="006C5910">
        <w:t>22/23</w:t>
      </w:r>
      <w:r w:rsidR="0087712A">
        <w:t>,</w:t>
      </w:r>
      <w:r w:rsidR="005C4207">
        <w:t xml:space="preserve"> </w:t>
      </w:r>
      <w:r>
        <w:t>Abschn</w:t>
      </w:r>
      <w:r w:rsidR="005C4207">
        <w:t>.</w:t>
      </w:r>
      <w:r>
        <w:t>:</w:t>
      </w:r>
      <w:r w:rsidR="006D5FB8">
        <w:t xml:space="preserve"> </w:t>
      </w:r>
      <w:r w:rsidR="006C5910">
        <w:t>Eine gelungene Übergabe.</w:t>
      </w:r>
    </w:p>
    <w:p w14:paraId="3BDD28B7" w14:textId="77777777" w:rsidR="008004CE" w:rsidRDefault="008004CE" w:rsidP="008004CE"/>
    <w:sectPr w:rsidR="008004CE" w:rsidSect="006C5910">
      <w:headerReference w:type="default" r:id="rId8"/>
      <w:footerReference w:type="default" r:id="rId9"/>
      <w:pgSz w:w="15840" w:h="12240" w:orient="landscape"/>
      <w:pgMar w:top="1077" w:right="1134" w:bottom="102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03DA0" w14:textId="77777777" w:rsidR="002D3DB1" w:rsidRDefault="002D3DB1" w:rsidP="00674FB4">
      <w:r>
        <w:separator/>
      </w:r>
    </w:p>
  </w:endnote>
  <w:endnote w:type="continuationSeparator" w:id="0">
    <w:p w14:paraId="120B33D4" w14:textId="77777777" w:rsidR="002D3DB1" w:rsidRDefault="002D3DB1" w:rsidP="0067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ntilly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ntilly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04659"/>
      <w:docPartObj>
        <w:docPartGallery w:val="Page Numbers (Bottom of Page)"/>
        <w:docPartUnique/>
      </w:docPartObj>
    </w:sdtPr>
    <w:sdtContent>
      <w:p w14:paraId="12D403BA" w14:textId="0CF78141" w:rsidR="006C5910" w:rsidRDefault="006C59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3512D8" w14:textId="77777777" w:rsidR="006C5910" w:rsidRDefault="006C59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995A" w14:textId="77777777" w:rsidR="002D3DB1" w:rsidRDefault="002D3DB1" w:rsidP="00674FB4">
      <w:r>
        <w:separator/>
      </w:r>
    </w:p>
  </w:footnote>
  <w:footnote w:type="continuationSeparator" w:id="0">
    <w:p w14:paraId="33F336D6" w14:textId="77777777" w:rsidR="002D3DB1" w:rsidRDefault="002D3DB1" w:rsidP="00674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09B8" w14:textId="77777777" w:rsidR="00674FB4" w:rsidRDefault="00674FB4">
    <w:pPr>
      <w:pStyle w:val="Kopfzeile"/>
    </w:pPr>
    <w:r>
      <w:t>Arbeitshilfe: Übergabe – Wie der Vorstandswechsel im Verein gelingt.</w:t>
    </w:r>
  </w:p>
  <w:p w14:paraId="50CA8B18" w14:textId="77777777" w:rsidR="00674FB4" w:rsidRDefault="00674FB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C62"/>
    <w:multiLevelType w:val="hybridMultilevel"/>
    <w:tmpl w:val="640696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0061"/>
    <w:multiLevelType w:val="hybridMultilevel"/>
    <w:tmpl w:val="4DC04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04"/>
    <w:rsid w:val="002D3DB1"/>
    <w:rsid w:val="002E2941"/>
    <w:rsid w:val="00430EE3"/>
    <w:rsid w:val="00580304"/>
    <w:rsid w:val="005C4207"/>
    <w:rsid w:val="00674FB4"/>
    <w:rsid w:val="006C5910"/>
    <w:rsid w:val="006D5FB8"/>
    <w:rsid w:val="007D06A2"/>
    <w:rsid w:val="008004CE"/>
    <w:rsid w:val="0087712A"/>
    <w:rsid w:val="00965CB0"/>
    <w:rsid w:val="0097176C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B84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hantilly Regular" w:hAnsi="Chantilly Regular" w:cs="Chantilly Regular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outlineLvl w:val="0"/>
    </w:pPr>
    <w:rPr>
      <w:rFonts w:cs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outlineLvl w:val="1"/>
    </w:pPr>
    <w:rPr>
      <w:rFonts w:cs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outlineLvl w:val="2"/>
    </w:pPr>
    <w:rPr>
      <w:rFonts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Style0">
    <w:name w:val="Style0"/>
    <w:basedOn w:val="Standard"/>
    <w:next w:val="Standard"/>
    <w:uiPriority w:val="99"/>
    <w:rPr>
      <w:sz w:val="16"/>
      <w:szCs w:val="16"/>
    </w:rPr>
  </w:style>
  <w:style w:type="paragraph" w:customStyle="1" w:styleId="Style1">
    <w:name w:val="Style1"/>
    <w:basedOn w:val="Standard"/>
    <w:next w:val="Standard"/>
    <w:uiPriority w:val="99"/>
    <w:rPr>
      <w:rFonts w:ascii="Chantilly Bold" w:hAnsi="Chantilly Bold" w:cs="Chantilly Bold"/>
      <w:sz w:val="16"/>
      <w:szCs w:val="16"/>
    </w:rPr>
  </w:style>
  <w:style w:type="paragraph" w:customStyle="1" w:styleId="Style2">
    <w:name w:val="Style2"/>
    <w:basedOn w:val="Standard"/>
    <w:next w:val="Standard"/>
    <w:uiPriority w:val="99"/>
    <w:rPr>
      <w:rFonts w:ascii="Myriad-Roman" w:hAnsi="Myriad-Roman" w:cs="Myriad-Roman"/>
      <w:sz w:val="16"/>
      <w:szCs w:val="16"/>
    </w:rPr>
  </w:style>
  <w:style w:type="paragraph" w:customStyle="1" w:styleId="Style3">
    <w:name w:val="Style3"/>
    <w:basedOn w:val="Standard"/>
    <w:next w:val="Standard"/>
    <w:uiPriority w:val="99"/>
    <w:rPr>
      <w:rFonts w:ascii="Myriad Pro-Semibold" w:hAnsi="Myriad Pro-Semibold" w:cs="Myriad Pro-Semibold"/>
      <w:sz w:val="98"/>
      <w:szCs w:val="98"/>
    </w:rPr>
  </w:style>
  <w:style w:type="paragraph" w:customStyle="1" w:styleId="Style4">
    <w:name w:val="Style4"/>
    <w:basedOn w:val="Standard"/>
    <w:next w:val="Standard"/>
    <w:uiPriority w:val="99"/>
    <w:rPr>
      <w:rFonts w:ascii="Myriad Pro-Bold" w:hAnsi="Myriad Pro-Bold" w:cs="Myriad Pro-Bold"/>
      <w:sz w:val="44"/>
      <w:szCs w:val="44"/>
    </w:rPr>
  </w:style>
  <w:style w:type="paragraph" w:customStyle="1" w:styleId="Style5">
    <w:name w:val="Style5"/>
    <w:basedOn w:val="Standard"/>
    <w:next w:val="Standard"/>
    <w:uiPriority w:val="99"/>
    <w:rPr>
      <w:rFonts w:ascii="Myriad Pro-Regular" w:hAnsi="Myriad Pro-Regular" w:cs="Myriad Pro-Regular"/>
      <w:sz w:val="66"/>
      <w:szCs w:val="66"/>
    </w:rPr>
  </w:style>
  <w:style w:type="paragraph" w:customStyle="1" w:styleId="Style6">
    <w:name w:val="Style6"/>
    <w:basedOn w:val="Standard"/>
    <w:next w:val="Standard"/>
    <w:uiPriority w:val="99"/>
    <w:rPr>
      <w:rFonts w:ascii="Zapf Dingbats" w:hAnsi="Zapf Dingbats" w:cs="Zapf Dingbats"/>
      <w:sz w:val="36"/>
      <w:szCs w:val="36"/>
    </w:rPr>
  </w:style>
  <w:style w:type="paragraph" w:customStyle="1" w:styleId="Style7">
    <w:name w:val="Style7"/>
    <w:basedOn w:val="Standard"/>
    <w:next w:val="Standard"/>
    <w:uiPriority w:val="99"/>
    <w:rPr>
      <w:rFonts w:ascii="Myriad Pro-It" w:hAnsi="Myriad Pro-It" w:cs="Myriad Pro-It"/>
    </w:rPr>
  </w:style>
  <w:style w:type="paragraph" w:customStyle="1" w:styleId="Style8">
    <w:name w:val="Style8"/>
    <w:basedOn w:val="Standard"/>
    <w:next w:val="Standard"/>
    <w:uiPriority w:val="99"/>
  </w:style>
  <w:style w:type="paragraph" w:customStyle="1" w:styleId="Style9">
    <w:name w:val="Style9"/>
    <w:basedOn w:val="Standard"/>
    <w:next w:val="Standard"/>
    <w:uiPriority w:val="99"/>
    <w:rPr>
      <w:sz w:val="30"/>
      <w:szCs w:val="30"/>
    </w:rPr>
  </w:style>
  <w:style w:type="paragraph" w:customStyle="1" w:styleId="Style10">
    <w:name w:val="Style10"/>
    <w:basedOn w:val="Standard"/>
    <w:next w:val="Standard"/>
    <w:uiPriority w:val="99"/>
    <w:rPr>
      <w:sz w:val="22"/>
      <w:szCs w:val="22"/>
    </w:rPr>
  </w:style>
  <w:style w:type="paragraph" w:customStyle="1" w:styleId="Style11">
    <w:name w:val="Style11"/>
    <w:basedOn w:val="Standard"/>
    <w:next w:val="Standard"/>
    <w:uiPriority w:val="99"/>
    <w:rPr>
      <w:sz w:val="12"/>
      <w:szCs w:val="12"/>
    </w:rPr>
  </w:style>
  <w:style w:type="paragraph" w:customStyle="1" w:styleId="Style12">
    <w:name w:val="Style12"/>
    <w:basedOn w:val="Standard"/>
    <w:next w:val="Standard"/>
    <w:uiPriority w:val="99"/>
    <w:rPr>
      <w:sz w:val="32"/>
      <w:szCs w:val="32"/>
    </w:rPr>
  </w:style>
  <w:style w:type="paragraph" w:customStyle="1" w:styleId="Style13">
    <w:name w:val="Style13"/>
    <w:basedOn w:val="Standard"/>
    <w:next w:val="Standard"/>
    <w:uiPriority w:val="99"/>
    <w:rPr>
      <w:sz w:val="24"/>
      <w:szCs w:val="24"/>
    </w:rPr>
  </w:style>
  <w:style w:type="paragraph" w:customStyle="1" w:styleId="Style14">
    <w:name w:val="Style14"/>
    <w:basedOn w:val="Standard"/>
    <w:next w:val="Standard"/>
    <w:uiPriority w:val="99"/>
    <w:rPr>
      <w:sz w:val="18"/>
      <w:szCs w:val="18"/>
    </w:rPr>
  </w:style>
  <w:style w:type="paragraph" w:customStyle="1" w:styleId="Style15">
    <w:name w:val="Style15"/>
    <w:basedOn w:val="Standard"/>
    <w:next w:val="Standard"/>
    <w:uiPriority w:val="99"/>
    <w:rPr>
      <w:sz w:val="18"/>
      <w:szCs w:val="18"/>
    </w:rPr>
  </w:style>
  <w:style w:type="paragraph" w:customStyle="1" w:styleId="Style16">
    <w:name w:val="Style16"/>
    <w:basedOn w:val="Standard"/>
    <w:next w:val="Standard"/>
    <w:uiPriority w:val="99"/>
    <w:rPr>
      <w:sz w:val="18"/>
      <w:szCs w:val="18"/>
    </w:rPr>
  </w:style>
  <w:style w:type="paragraph" w:customStyle="1" w:styleId="Style17">
    <w:name w:val="Style17"/>
    <w:basedOn w:val="Standard"/>
    <w:next w:val="Standard"/>
    <w:uiPriority w:val="99"/>
    <w:rPr>
      <w:sz w:val="26"/>
      <w:szCs w:val="26"/>
    </w:rPr>
  </w:style>
  <w:style w:type="paragraph" w:customStyle="1" w:styleId="Style18">
    <w:name w:val="Style18"/>
    <w:basedOn w:val="Standard"/>
    <w:next w:val="Standard"/>
    <w:uiPriority w:val="99"/>
  </w:style>
  <w:style w:type="paragraph" w:customStyle="1" w:styleId="Style19">
    <w:name w:val="Style19"/>
    <w:basedOn w:val="Standard"/>
    <w:next w:val="Standard"/>
    <w:uiPriority w:val="99"/>
    <w:rPr>
      <w:sz w:val="18"/>
      <w:szCs w:val="18"/>
    </w:rPr>
  </w:style>
  <w:style w:type="paragraph" w:customStyle="1" w:styleId="Style20">
    <w:name w:val="Style20"/>
    <w:basedOn w:val="Standard"/>
    <w:next w:val="Standard"/>
    <w:uiPriority w:val="99"/>
    <w:rPr>
      <w:sz w:val="18"/>
      <w:szCs w:val="18"/>
    </w:rPr>
  </w:style>
  <w:style w:type="paragraph" w:customStyle="1" w:styleId="Style21">
    <w:name w:val="Style21"/>
    <w:basedOn w:val="Standard"/>
    <w:next w:val="Standard"/>
    <w:uiPriority w:val="99"/>
    <w:rPr>
      <w:sz w:val="14"/>
      <w:szCs w:val="14"/>
    </w:rPr>
  </w:style>
  <w:style w:type="paragraph" w:customStyle="1" w:styleId="Style22">
    <w:name w:val="Style22"/>
    <w:basedOn w:val="Standard"/>
    <w:next w:val="Standard"/>
    <w:uiPriority w:val="99"/>
    <w:rPr>
      <w:sz w:val="14"/>
      <w:szCs w:val="14"/>
    </w:rPr>
  </w:style>
  <w:style w:type="paragraph" w:customStyle="1" w:styleId="Style23">
    <w:name w:val="Style23"/>
    <w:basedOn w:val="Standard"/>
    <w:next w:val="Standard"/>
    <w:uiPriority w:val="99"/>
    <w:rPr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74F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4FB4"/>
    <w:rPr>
      <w:rFonts w:ascii="Chantilly Regular" w:hAnsi="Chantilly Regular" w:cs="Chantilly Regular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7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HFrank</dc:creator>
  <cp:lastModifiedBy>Frank_Moldzio</cp:lastModifiedBy>
  <cp:revision>3</cp:revision>
  <dcterms:created xsi:type="dcterms:W3CDTF">2021-02-19T08:58:00Z</dcterms:created>
  <dcterms:modified xsi:type="dcterms:W3CDTF">2021-02-19T09:03:00Z</dcterms:modified>
</cp:coreProperties>
</file>